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8DDD" w14:textId="77777777" w:rsidR="008B5AF3" w:rsidRDefault="000C421A" w:rsidP="008B5AF3">
      <w:pP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539F5734" wp14:editId="35B6B0F2">
            <wp:simplePos x="0" y="0"/>
            <wp:positionH relativeFrom="column">
              <wp:posOffset>781050</wp:posOffset>
            </wp:positionH>
            <wp:positionV relativeFrom="paragraph">
              <wp:posOffset>123825</wp:posOffset>
            </wp:positionV>
            <wp:extent cx="3905250" cy="1495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05250" cy="1495425"/>
                    </a:xfrm>
                    <a:prstGeom prst="rect">
                      <a:avLst/>
                    </a:prstGeom>
                    <a:noFill/>
                    <a:ln w="9525">
                      <a:noFill/>
                      <a:miter lim="800000"/>
                      <a:headEnd/>
                      <a:tailEnd/>
                    </a:ln>
                  </pic:spPr>
                </pic:pic>
              </a:graphicData>
            </a:graphic>
            <wp14:sizeRelV relativeFrom="margin">
              <wp14:pctHeight>0</wp14:pctHeight>
            </wp14:sizeRelV>
          </wp:anchor>
        </w:drawing>
      </w:r>
    </w:p>
    <w:p w14:paraId="529A0D4F" w14:textId="77777777" w:rsidR="004B641C" w:rsidRDefault="004B641C" w:rsidP="008B5AF3">
      <w:pPr>
        <w:rPr>
          <w:rFonts w:ascii="Times New Roman" w:hAnsi="Times New Roman" w:cs="Times New Roman"/>
          <w:sz w:val="24"/>
          <w:szCs w:val="24"/>
        </w:rPr>
      </w:pPr>
    </w:p>
    <w:p w14:paraId="7AFD681D" w14:textId="77777777" w:rsidR="004B641C" w:rsidRDefault="004B641C" w:rsidP="008B5AF3">
      <w:pPr>
        <w:rPr>
          <w:rFonts w:ascii="Times New Roman" w:hAnsi="Times New Roman" w:cs="Times New Roman"/>
          <w:sz w:val="24"/>
          <w:szCs w:val="24"/>
        </w:rPr>
      </w:pPr>
    </w:p>
    <w:p w14:paraId="66900743" w14:textId="77777777" w:rsidR="004B641C" w:rsidRPr="00A4043F" w:rsidRDefault="004B641C" w:rsidP="008B5AF3">
      <w:pPr>
        <w:rPr>
          <w:rFonts w:ascii="Times New Roman" w:hAnsi="Times New Roman" w:cs="Times New Roman"/>
          <w:sz w:val="24"/>
          <w:szCs w:val="24"/>
        </w:rPr>
      </w:pPr>
    </w:p>
    <w:p w14:paraId="3E737061" w14:textId="77777777" w:rsidR="008B5AF3" w:rsidRPr="00A4043F" w:rsidRDefault="008B5AF3" w:rsidP="008B5AF3">
      <w:pPr>
        <w:rPr>
          <w:rFonts w:ascii="Times New Roman" w:hAnsi="Times New Roman" w:cs="Times New Roman"/>
          <w:sz w:val="24"/>
          <w:szCs w:val="24"/>
        </w:rPr>
      </w:pPr>
    </w:p>
    <w:p w14:paraId="55446C3E" w14:textId="77777777" w:rsidR="008B5AF3" w:rsidRDefault="008B5AF3" w:rsidP="008B5AF3">
      <w:pPr>
        <w:jc w:val="center"/>
        <w:rPr>
          <w:rFonts w:cs="TrebuchetMS,Bold"/>
          <w:b/>
          <w:bCs/>
          <w:color w:val="001F5F"/>
          <w:sz w:val="27"/>
          <w:szCs w:val="27"/>
          <w:lang w:val="kk-KZ"/>
        </w:rPr>
      </w:pPr>
    </w:p>
    <w:p w14:paraId="451DEB07" w14:textId="77777777" w:rsidR="008B5AF3" w:rsidRDefault="008B5AF3" w:rsidP="008B5AF3">
      <w:pPr>
        <w:jc w:val="center"/>
        <w:rPr>
          <w:rFonts w:cs="TrebuchetMS,Bold"/>
          <w:b/>
          <w:bCs/>
          <w:color w:val="001F5F"/>
          <w:sz w:val="27"/>
          <w:szCs w:val="27"/>
          <w:lang w:val="kk-KZ"/>
        </w:rPr>
      </w:pPr>
    </w:p>
    <w:p w14:paraId="27CE42FC" w14:textId="77777777" w:rsidR="000F411D" w:rsidRDefault="000F411D" w:rsidP="000F411D">
      <w:pPr>
        <w:jc w:val="center"/>
      </w:pPr>
      <w:r w:rsidRPr="000F411D">
        <w:rPr>
          <w:rFonts w:ascii="Times New Roman" w:hAnsi="Times New Roman" w:cs="Times New Roman"/>
          <w:b/>
          <w:sz w:val="28"/>
          <w:szCs w:val="28"/>
        </w:rPr>
        <w:t>POLICY ON OUTSOUCE OF ACTIVITIES</w:t>
      </w:r>
    </w:p>
    <w:p w14:paraId="45532451" w14:textId="77777777" w:rsidR="00B87D63" w:rsidRPr="00B87D63" w:rsidRDefault="00B87D63" w:rsidP="00B87D63">
      <w:pPr>
        <w:jc w:val="center"/>
        <w:rPr>
          <w:rFonts w:ascii="Times New Roman" w:hAnsi="Times New Roman" w:cs="Times New Roman"/>
          <w:b/>
          <w:sz w:val="32"/>
          <w:szCs w:val="24"/>
          <w:u w:val="single"/>
        </w:rPr>
      </w:pPr>
    </w:p>
    <w:p w14:paraId="21A52007" w14:textId="77777777" w:rsidR="004B641C" w:rsidRPr="004B641C" w:rsidRDefault="004B641C" w:rsidP="004B641C">
      <w:pPr>
        <w:rPr>
          <w:rFonts w:ascii="Times New Roman" w:hAnsi="Times New Roman"/>
          <w:b/>
          <w:sz w:val="24"/>
          <w:szCs w:val="24"/>
        </w:rPr>
      </w:pPr>
      <w:r w:rsidRPr="004B641C">
        <w:rPr>
          <w:rFonts w:ascii="Times New Roman" w:hAnsi="Times New Roman"/>
          <w:b/>
          <w:sz w:val="24"/>
          <w:szCs w:val="24"/>
        </w:rPr>
        <w:t>Company Name</w:t>
      </w:r>
      <w:r w:rsidR="00981122">
        <w:rPr>
          <w:rFonts w:ascii="Times New Roman" w:hAnsi="Times New Roman"/>
          <w:b/>
          <w:sz w:val="24"/>
          <w:szCs w:val="24"/>
        </w:rPr>
        <w:tab/>
      </w:r>
      <w:r w:rsidR="00981122">
        <w:rPr>
          <w:rFonts w:ascii="Times New Roman" w:hAnsi="Times New Roman"/>
          <w:b/>
          <w:sz w:val="24"/>
          <w:szCs w:val="24"/>
        </w:rPr>
        <w:tab/>
      </w:r>
      <w:r w:rsidR="00981122">
        <w:rPr>
          <w:rFonts w:ascii="Times New Roman" w:hAnsi="Times New Roman"/>
          <w:b/>
          <w:sz w:val="24"/>
          <w:szCs w:val="24"/>
        </w:rPr>
        <w:tab/>
      </w:r>
      <w:r w:rsidRPr="004B641C">
        <w:rPr>
          <w:rFonts w:ascii="Times New Roman" w:hAnsi="Times New Roman"/>
          <w:b/>
          <w:sz w:val="24"/>
          <w:szCs w:val="24"/>
        </w:rPr>
        <w:t>: Bharathi Share Broking Pvt Ltd</w:t>
      </w:r>
    </w:p>
    <w:p w14:paraId="56CA75E6" w14:textId="77777777" w:rsidR="004B641C" w:rsidRPr="004B641C" w:rsidRDefault="004B641C" w:rsidP="004B641C">
      <w:pPr>
        <w:rPr>
          <w:rFonts w:ascii="Times New Roman" w:hAnsi="Times New Roman"/>
          <w:b/>
          <w:sz w:val="24"/>
          <w:szCs w:val="24"/>
        </w:rPr>
      </w:pPr>
      <w:r w:rsidRPr="004B641C">
        <w:rPr>
          <w:rFonts w:ascii="Times New Roman" w:hAnsi="Times New Roman"/>
          <w:b/>
          <w:sz w:val="24"/>
          <w:szCs w:val="24"/>
        </w:rPr>
        <w:t>NSE TCM Code</w:t>
      </w:r>
      <w:r w:rsidR="00981122">
        <w:rPr>
          <w:rFonts w:ascii="Times New Roman" w:hAnsi="Times New Roman"/>
          <w:b/>
          <w:sz w:val="24"/>
          <w:szCs w:val="24"/>
        </w:rPr>
        <w:tab/>
      </w:r>
      <w:r w:rsidR="00981122">
        <w:rPr>
          <w:rFonts w:ascii="Times New Roman" w:hAnsi="Times New Roman"/>
          <w:b/>
          <w:sz w:val="24"/>
          <w:szCs w:val="24"/>
        </w:rPr>
        <w:tab/>
      </w:r>
      <w:r w:rsidR="00981122">
        <w:rPr>
          <w:rFonts w:ascii="Times New Roman" w:hAnsi="Times New Roman"/>
          <w:b/>
          <w:sz w:val="24"/>
          <w:szCs w:val="24"/>
        </w:rPr>
        <w:tab/>
      </w:r>
      <w:r w:rsidRPr="004B641C">
        <w:rPr>
          <w:rFonts w:ascii="Times New Roman" w:hAnsi="Times New Roman"/>
          <w:b/>
          <w:sz w:val="24"/>
          <w:szCs w:val="24"/>
        </w:rPr>
        <w:t>: 13220</w:t>
      </w:r>
    </w:p>
    <w:p w14:paraId="3019CBBA" w14:textId="1EFAE177" w:rsidR="004B641C" w:rsidRDefault="006C486E" w:rsidP="004B641C">
      <w:pPr>
        <w:rPr>
          <w:rFonts w:ascii="Times New Roman" w:hAnsi="Times New Roman"/>
          <w:b/>
          <w:sz w:val="24"/>
          <w:szCs w:val="24"/>
        </w:rPr>
      </w:pPr>
      <w:r w:rsidRPr="00310889">
        <w:rPr>
          <w:rFonts w:ascii="Times New Roman" w:hAnsi="Times New Roman"/>
          <w:b/>
          <w:sz w:val="24"/>
          <w:szCs w:val="24"/>
        </w:rPr>
        <w:t>NSE SEBI</w:t>
      </w:r>
      <w:r w:rsidR="00310889" w:rsidRPr="00310889">
        <w:rPr>
          <w:rFonts w:ascii="Times New Roman" w:hAnsi="Times New Roman"/>
          <w:b/>
          <w:sz w:val="24"/>
          <w:szCs w:val="24"/>
        </w:rPr>
        <w:t xml:space="preserve"> Registration No</w:t>
      </w:r>
      <w:r w:rsidR="00310889" w:rsidRPr="00310889">
        <w:rPr>
          <w:rFonts w:ascii="Times New Roman" w:hAnsi="Times New Roman"/>
          <w:b/>
          <w:sz w:val="24"/>
          <w:szCs w:val="24"/>
        </w:rPr>
        <w:tab/>
      </w:r>
      <w:r w:rsidR="00310889" w:rsidRPr="00310889">
        <w:rPr>
          <w:rFonts w:ascii="Times New Roman" w:hAnsi="Times New Roman"/>
          <w:b/>
          <w:sz w:val="24"/>
          <w:szCs w:val="24"/>
        </w:rPr>
        <w:tab/>
        <w:t>: INZ000282730</w:t>
      </w:r>
    </w:p>
    <w:p w14:paraId="68A969DF" w14:textId="77777777" w:rsidR="00981122" w:rsidRPr="004B641C" w:rsidRDefault="00981122" w:rsidP="004B641C">
      <w:pPr>
        <w:rPr>
          <w:rFonts w:ascii="Times New Roman" w:hAnsi="Times New Roman"/>
          <w:b/>
          <w:sz w:val="24"/>
          <w:szCs w:val="24"/>
        </w:rPr>
      </w:pPr>
    </w:p>
    <w:p w14:paraId="55DEA5FC" w14:textId="77777777" w:rsidR="008B5AF3" w:rsidRDefault="008B5AF3">
      <w:pPr>
        <w:rPr>
          <w:rFonts w:ascii="Times New Roman" w:hAnsi="Times New Roman" w:cs="Times New Roman"/>
          <w:sz w:val="24"/>
          <w:szCs w:val="24"/>
        </w:rPr>
      </w:pPr>
    </w:p>
    <w:p w14:paraId="5992962D" w14:textId="77777777" w:rsidR="00981122" w:rsidRDefault="00981122">
      <w:pPr>
        <w:rPr>
          <w:rFonts w:ascii="Times New Roman" w:hAnsi="Times New Roman" w:cs="Times New Roman"/>
          <w:sz w:val="24"/>
          <w:szCs w:val="24"/>
        </w:rPr>
      </w:pPr>
    </w:p>
    <w:p w14:paraId="6798302F" w14:textId="77777777" w:rsidR="00B87D63" w:rsidRDefault="00B87D63" w:rsidP="00B87D63">
      <w:pPr>
        <w:pStyle w:val="Default"/>
        <w:rPr>
          <w:color w:val="auto"/>
          <w:sz w:val="25"/>
          <w:szCs w:val="25"/>
        </w:rPr>
      </w:pPr>
      <w:r>
        <w:rPr>
          <w:b/>
          <w:bCs/>
          <w:color w:val="auto"/>
          <w:sz w:val="25"/>
          <w:szCs w:val="25"/>
        </w:rPr>
        <w:t xml:space="preserve">Objective: </w:t>
      </w:r>
    </w:p>
    <w:p w14:paraId="547D743B" w14:textId="77777777" w:rsidR="00B87D63" w:rsidRPr="00B87D63" w:rsidRDefault="00B87D63" w:rsidP="00B87D63">
      <w:pPr>
        <w:autoSpaceDE w:val="0"/>
        <w:autoSpaceDN w:val="0"/>
        <w:adjustRightInd w:val="0"/>
        <w:spacing w:after="0" w:line="240" w:lineRule="auto"/>
        <w:rPr>
          <w:rFonts w:ascii="Times New Roman" w:hAnsi="Times New Roman" w:cs="Times New Roman"/>
          <w:color w:val="000000"/>
          <w:sz w:val="24"/>
          <w:szCs w:val="24"/>
        </w:rPr>
      </w:pPr>
    </w:p>
    <w:p w14:paraId="6BE0F09E" w14:textId="77777777" w:rsidR="00B87D63" w:rsidRPr="00B87D63" w:rsidRDefault="00B87D63" w:rsidP="00B87D63">
      <w:pPr>
        <w:autoSpaceDE w:val="0"/>
        <w:autoSpaceDN w:val="0"/>
        <w:adjustRightInd w:val="0"/>
        <w:spacing w:after="0" w:line="240" w:lineRule="auto"/>
        <w:rPr>
          <w:rFonts w:ascii="Times New Roman" w:hAnsi="Times New Roman" w:cs="Times New Roman"/>
          <w:sz w:val="24"/>
          <w:szCs w:val="24"/>
        </w:rPr>
      </w:pPr>
    </w:p>
    <w:p w14:paraId="2F7BE0E6" w14:textId="77777777" w:rsidR="000F411D" w:rsidRPr="000F411D" w:rsidRDefault="000F411D" w:rsidP="000F411D">
      <w:pPr>
        <w:jc w:val="both"/>
        <w:rPr>
          <w:rFonts w:ascii="Times New Roman" w:hAnsi="Times New Roman" w:cs="Times New Roman"/>
          <w:sz w:val="24"/>
          <w:szCs w:val="24"/>
        </w:rPr>
      </w:pPr>
      <w:r w:rsidRPr="000F411D">
        <w:rPr>
          <w:rFonts w:ascii="Times New Roman" w:hAnsi="Times New Roman" w:cs="Times New Roman"/>
          <w:sz w:val="24"/>
          <w:szCs w:val="24"/>
        </w:rPr>
        <w:t xml:space="preserve">The objective of the policy is to ensure that the Company shall render at all times high standards of service and exercise due diligence and ensure proper care in operations. Outsourcing of any activities should be within the prescribed guidelines of SEBI, Exchanges, Depositories or any other Regulatory from time to time. </w:t>
      </w:r>
    </w:p>
    <w:p w14:paraId="3E6FA901" w14:textId="77777777" w:rsidR="00B87D63" w:rsidRDefault="00B87D63">
      <w:pPr>
        <w:rPr>
          <w:rFonts w:ascii="Times New Roman" w:hAnsi="Times New Roman" w:cs="Times New Roman"/>
          <w:sz w:val="24"/>
          <w:szCs w:val="24"/>
          <w:u w:val="single"/>
        </w:rPr>
      </w:pPr>
    </w:p>
    <w:p w14:paraId="5CB34FD9" w14:textId="77777777" w:rsidR="00B87D63" w:rsidRDefault="00B87D63">
      <w:pPr>
        <w:rPr>
          <w:rFonts w:ascii="Times New Roman" w:hAnsi="Times New Roman" w:cs="Times New Roman"/>
          <w:sz w:val="24"/>
          <w:szCs w:val="24"/>
          <w:u w:val="single"/>
        </w:rPr>
      </w:pPr>
    </w:p>
    <w:p w14:paraId="660B126B" w14:textId="77777777" w:rsidR="000F411D" w:rsidRDefault="000F411D" w:rsidP="001E3677">
      <w:pPr>
        <w:pStyle w:val="Default"/>
        <w:rPr>
          <w:b/>
          <w:bCs/>
          <w:color w:val="auto"/>
          <w:sz w:val="25"/>
          <w:szCs w:val="25"/>
        </w:rPr>
      </w:pPr>
      <w:r w:rsidRPr="001E3677">
        <w:rPr>
          <w:b/>
          <w:bCs/>
          <w:color w:val="auto"/>
          <w:sz w:val="25"/>
          <w:szCs w:val="25"/>
        </w:rPr>
        <w:t>Outsourcing</w:t>
      </w:r>
    </w:p>
    <w:p w14:paraId="51CE83DD" w14:textId="77777777" w:rsidR="001E3677" w:rsidRPr="001E3677" w:rsidRDefault="001E3677" w:rsidP="001E3677">
      <w:pPr>
        <w:pStyle w:val="Default"/>
        <w:rPr>
          <w:b/>
          <w:bCs/>
          <w:color w:val="auto"/>
          <w:sz w:val="25"/>
          <w:szCs w:val="25"/>
        </w:rPr>
      </w:pPr>
    </w:p>
    <w:p w14:paraId="7AA58BD3"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Outsourcing may be defined as the use of one or more than one third party – either within or outside the group - by a registered intermediary to perform the activities associated with services which the Company offers. SEBI Vide its Circular no. CIR/MIRSD/24/2011 Dated December 15, 2011, had set in certain Principles and Guidelines to be followed while Outsourcing the Activities which are to be adhered to by the intermediaries. </w:t>
      </w:r>
    </w:p>
    <w:p w14:paraId="3BF215FD" w14:textId="77777777" w:rsidR="000F411D" w:rsidRDefault="000F411D" w:rsidP="001E3677">
      <w:pPr>
        <w:pStyle w:val="Default"/>
        <w:rPr>
          <w:b/>
          <w:bCs/>
          <w:color w:val="auto"/>
          <w:sz w:val="25"/>
          <w:szCs w:val="25"/>
        </w:rPr>
      </w:pPr>
      <w:r w:rsidRPr="001E3677">
        <w:rPr>
          <w:b/>
          <w:bCs/>
          <w:color w:val="auto"/>
          <w:sz w:val="25"/>
          <w:szCs w:val="25"/>
        </w:rPr>
        <w:lastRenderedPageBreak/>
        <w:t>Policy:</w:t>
      </w:r>
    </w:p>
    <w:p w14:paraId="514259F5" w14:textId="77777777" w:rsidR="001E3677" w:rsidRDefault="001E3677" w:rsidP="001E3677">
      <w:pPr>
        <w:pStyle w:val="Default"/>
        <w:rPr>
          <w:b/>
          <w:bCs/>
          <w:color w:val="auto"/>
          <w:sz w:val="25"/>
          <w:szCs w:val="25"/>
        </w:rPr>
      </w:pPr>
    </w:p>
    <w:p w14:paraId="7981FE0B"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As a policy the Company discourages the Outsourcing of Activities. However, the company may outsource only those activities which are defined within the frame work defined by SEBI, Exchanges, Depositories or any other Regulatory from time to time and as laid down in this policy. This policy is prepared to mitigate the risks associated with outsourcing which may include operational risk, reputational risk, legal risk, country risk, strategic risk, exit-strategy risk, counter party risk, Cyber risk, concentration and systemic risk. To address the concerns arising from the outsourcing of activities by Company based on the principles advocated by the IOSCO and the experience of Indian markets and to be in compliance with the guidelines issued on outsourcing by SEBI, Exchanges, Depositories or any other Regulatory from time to time. </w:t>
      </w:r>
    </w:p>
    <w:p w14:paraId="0AFBD75F" w14:textId="77777777" w:rsidR="000F411D" w:rsidRPr="001E3677" w:rsidRDefault="000F411D" w:rsidP="001E3677">
      <w:pPr>
        <w:pStyle w:val="ListParagraph"/>
        <w:numPr>
          <w:ilvl w:val="0"/>
          <w:numId w:val="5"/>
        </w:numPr>
        <w:jc w:val="both"/>
        <w:rPr>
          <w:rFonts w:ascii="Times New Roman" w:hAnsi="Times New Roman" w:cs="Times New Roman"/>
          <w:b/>
          <w:sz w:val="24"/>
          <w:szCs w:val="24"/>
        </w:rPr>
      </w:pPr>
      <w:r w:rsidRPr="001E3677">
        <w:rPr>
          <w:rFonts w:ascii="Times New Roman" w:hAnsi="Times New Roman" w:cs="Times New Roman"/>
          <w:b/>
          <w:sz w:val="24"/>
          <w:szCs w:val="24"/>
        </w:rPr>
        <w:t xml:space="preserve">Activities that shall not be Outsourced: </w:t>
      </w:r>
    </w:p>
    <w:p w14:paraId="7A821639" w14:textId="6A0AE574"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The Company if desirous of outsourcing their activities shall not, however, outsource their core business activities and compliance functions. Core Business Activities include– Execution of orders and monitoring of trading activities of clients, Dematerialisation of securities, Investment related activities in case of Mutual Funds and Portfolio Managers. Regarding Know Your Client (KYC) requirements and all such activities as defined by the regulatories from time to time. The Company shall comply with the provisions of Exchanges, </w:t>
      </w:r>
      <w:r w:rsidR="006C486E" w:rsidRPr="001E3677">
        <w:rPr>
          <w:rFonts w:ascii="Times New Roman" w:hAnsi="Times New Roman" w:cs="Times New Roman"/>
          <w:sz w:val="24"/>
          <w:szCs w:val="24"/>
        </w:rPr>
        <w:t>SEBI,</w:t>
      </w:r>
      <w:r w:rsidRPr="001E3677">
        <w:rPr>
          <w:rFonts w:ascii="Times New Roman" w:hAnsi="Times New Roman" w:cs="Times New Roman"/>
          <w:sz w:val="24"/>
          <w:szCs w:val="24"/>
        </w:rPr>
        <w:t xml:space="preserve"> {KYC (Know Your Client) Registration Agency} Regulations, 2011 and all other Guidelines issued thereunder from time to Time. </w:t>
      </w:r>
    </w:p>
    <w:p w14:paraId="6B9B8A2E" w14:textId="77777777" w:rsidR="000F411D" w:rsidRDefault="000F411D" w:rsidP="001E3677">
      <w:pPr>
        <w:pStyle w:val="Default"/>
        <w:rPr>
          <w:b/>
          <w:bCs/>
          <w:color w:val="auto"/>
          <w:sz w:val="25"/>
          <w:szCs w:val="25"/>
        </w:rPr>
      </w:pPr>
      <w:r w:rsidRPr="001E3677">
        <w:rPr>
          <w:b/>
          <w:bCs/>
          <w:color w:val="auto"/>
          <w:sz w:val="25"/>
          <w:szCs w:val="25"/>
        </w:rPr>
        <w:t xml:space="preserve">Other Obligations </w:t>
      </w:r>
    </w:p>
    <w:p w14:paraId="4911021E" w14:textId="77777777" w:rsidR="001E3677" w:rsidRPr="001E3677" w:rsidRDefault="001E3677" w:rsidP="001E3677">
      <w:pPr>
        <w:pStyle w:val="Default"/>
        <w:rPr>
          <w:b/>
          <w:bCs/>
          <w:color w:val="auto"/>
          <w:sz w:val="25"/>
          <w:szCs w:val="25"/>
        </w:rPr>
      </w:pPr>
    </w:p>
    <w:p w14:paraId="2C8B1908"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Reporting To Financial Intelligence Unit (FIU) - The Company shall be responsible for reporting of any suspicious transactions / reports to FIU or any other competent authority in respect of activities carried out by the third parties. </w:t>
      </w:r>
    </w:p>
    <w:p w14:paraId="6F4C2377" w14:textId="1FE12D8F" w:rsidR="000F411D"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ii. Need for Self Assessment of existing Outsourcing Arrangements – In view of the changing business activities and complexities of various financial products, </w:t>
      </w:r>
      <w:r w:rsidR="006C486E" w:rsidRPr="001E3677">
        <w:rPr>
          <w:rFonts w:ascii="Times New Roman" w:hAnsi="Times New Roman" w:cs="Times New Roman"/>
          <w:sz w:val="24"/>
          <w:szCs w:val="24"/>
        </w:rPr>
        <w:t>the</w:t>
      </w:r>
      <w:r w:rsidRPr="001E3677">
        <w:rPr>
          <w:rFonts w:ascii="Times New Roman" w:hAnsi="Times New Roman" w:cs="Times New Roman"/>
          <w:sz w:val="24"/>
          <w:szCs w:val="24"/>
        </w:rPr>
        <w:t xml:space="preserve"> company shall conduct a self assessment of their existing outsourcing arrangements within a time bound plan and review the same as and when required.</w:t>
      </w:r>
    </w:p>
    <w:p w14:paraId="56F98B15" w14:textId="77777777" w:rsidR="001E3677" w:rsidRDefault="001E3677" w:rsidP="001E3677">
      <w:pPr>
        <w:jc w:val="both"/>
        <w:rPr>
          <w:rFonts w:ascii="Times New Roman" w:hAnsi="Times New Roman" w:cs="Times New Roman"/>
          <w:sz w:val="24"/>
          <w:szCs w:val="24"/>
        </w:rPr>
      </w:pPr>
    </w:p>
    <w:p w14:paraId="3E599266" w14:textId="77777777" w:rsidR="00421E77" w:rsidRDefault="00421E77" w:rsidP="001E3677">
      <w:pPr>
        <w:jc w:val="both"/>
        <w:rPr>
          <w:rFonts w:ascii="Times New Roman" w:hAnsi="Times New Roman" w:cs="Times New Roman"/>
          <w:sz w:val="24"/>
          <w:szCs w:val="24"/>
        </w:rPr>
      </w:pPr>
    </w:p>
    <w:p w14:paraId="0D5230DE" w14:textId="77777777" w:rsidR="001E3677" w:rsidRDefault="001E3677" w:rsidP="001E3677">
      <w:pPr>
        <w:pStyle w:val="Default"/>
        <w:rPr>
          <w:b/>
          <w:bCs/>
          <w:color w:val="auto"/>
          <w:sz w:val="25"/>
          <w:szCs w:val="25"/>
        </w:rPr>
      </w:pPr>
    </w:p>
    <w:p w14:paraId="25297803" w14:textId="77777777" w:rsidR="000F411D" w:rsidRDefault="000F411D" w:rsidP="001E3677">
      <w:pPr>
        <w:pStyle w:val="Default"/>
      </w:pPr>
      <w:r w:rsidRPr="001E3677">
        <w:rPr>
          <w:b/>
          <w:bCs/>
          <w:color w:val="auto"/>
          <w:sz w:val="25"/>
          <w:szCs w:val="25"/>
        </w:rPr>
        <w:t>Principles for Outsourcing of client:</w:t>
      </w:r>
      <w:r w:rsidRPr="001E3677">
        <w:t xml:space="preserve"> </w:t>
      </w:r>
    </w:p>
    <w:p w14:paraId="42EDC9E1" w14:textId="77777777" w:rsidR="001E3677" w:rsidRPr="001E3677" w:rsidRDefault="001E3677" w:rsidP="001E3677">
      <w:pPr>
        <w:pStyle w:val="Default"/>
      </w:pPr>
    </w:p>
    <w:p w14:paraId="37669ED2"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1. Comprehensive Assessment of whether and how these activities can be appropriately outsourced: </w:t>
      </w:r>
    </w:p>
    <w:p w14:paraId="76E7AF35"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i. Only such activities other than those which cannot be outsourced, as defined above from time to time as per the regulatories shall be outsourced. Any activity shall not be outsourced </w:t>
      </w:r>
      <w:r w:rsidRPr="001E3677">
        <w:rPr>
          <w:rFonts w:ascii="Times New Roman" w:hAnsi="Times New Roman" w:cs="Times New Roman"/>
          <w:sz w:val="24"/>
          <w:szCs w:val="24"/>
        </w:rPr>
        <w:lastRenderedPageBreak/>
        <w:t xml:space="preserve">if it would impair the supervisory authority’s right to assess, or its ability to supervise the business. </w:t>
      </w:r>
    </w:p>
    <w:p w14:paraId="31398B0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ii. The compliance officer can approve and select the third party to whom it can be outsourced, after evaluation of risk concentrations, limits on the acceptable overall level of outsourced activities, risks arising from outsourcing multiple activities to the same entity, etc. Such Approval will be subject to the prior approval of the Board of Directors.</w:t>
      </w:r>
    </w:p>
    <w:p w14:paraId="079842E0"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iii.The Board shall mandate a regular review of outsourcing policy for such activities in the wake of changing business environment. It shall also have overall responsibility for ensuring that all ongoing outsourcing decisions taken by the Company and the activities undertaken by the third-party, are in keeping with its outsourcing policy.</w:t>
      </w:r>
    </w:p>
    <w:p w14:paraId="774A33FC"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 2 Comprehensive outsourcing risk management programme to address the outsourced activities and the relationship with the third party:</w:t>
      </w:r>
    </w:p>
    <w:p w14:paraId="74B9359E"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The Company shall make an assessment of outsourcing risk which depends on several factors, including the scope and materiality of the outsourced activity, etc. The factors that could help in considering materiality in a risk management programme include-</w:t>
      </w:r>
    </w:p>
    <w:p w14:paraId="004ADDF9"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The impact of failure of a third party to adequately perform the activity on the financial, reputational and operational performance of the Company and on the investors / clients;</w:t>
      </w:r>
    </w:p>
    <w:p w14:paraId="53323867"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Ability of the Company to cope up with the work, in case of non performance or failure by a third party by having suitable back-up arrangements;</w:t>
      </w:r>
    </w:p>
    <w:p w14:paraId="48AAA1EF"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Regulatory status of the third party, including its fitness and probity status.</w:t>
      </w:r>
    </w:p>
    <w:p w14:paraId="55131FDF"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Situations involving conflict of interest between the Company and the third party and the measures put in place by the Company to address such potential conflicts, etc. </w:t>
      </w:r>
    </w:p>
    <w:p w14:paraId="59BA83E1"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ii.The risk management practices expected to be adopted by the Company while outsourcing to a related party or an associate would be identical to those followed while outsourcing to an unrelated party. While there shall not be any prohibition on a group entity / associate of the Company to act as the third party, systems shall be put in place to have an arm’s length distance between the Company and the third party in terms of infrastructure, manpower, decision-making, record keeping, etc. for avoidance of potential conflict of interests. Necessary disclosures in this regard shall be made as part of the contractual agreement.</w:t>
      </w:r>
    </w:p>
    <w:p w14:paraId="63622EB8"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The records relating to all activities outsourced shall be preserved centrally so that the same are readily accessible for review by the Board of the Company and / or its senior management, as and when needed. Such records shall be regularly updated and may also form part of the corporate governance review by the management of the Company.</w:t>
      </w:r>
    </w:p>
    <w:p w14:paraId="48A73CD5"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iv. Regular reviews by internal or external auditors of the outsourcing policies, risk management system and requirements of the regulator shall be mandated by the Board wherever felt necessary. The Company shall review the financial and operational capabilities of the third party in order to assess its ability to continue to meet its outsourcing obligations.</w:t>
      </w:r>
    </w:p>
    <w:p w14:paraId="52D5981C"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lastRenderedPageBreak/>
        <w:t xml:space="preserve"> 3. The Company shall ensure that outsourcing arrangements neither diminish its ability to fulfill its obligations to customers and regulators, nor impede effective supervision by the regulators.</w:t>
      </w:r>
    </w:p>
    <w:p w14:paraId="6739571E"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 The Company shall be fully liable and accountable for the activities that are being outsourced to the same extent as if the service were provided in-house.</w:t>
      </w:r>
    </w:p>
    <w:p w14:paraId="1DCFF7C9"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II. Outsourcing arrangements shall not affect the rights of an investor or client against the Company in any manner. The Company shall be liable to the investors for the loss incurred by them due to the failure of the third party and also be responsible for redressal of the grievances received from investors arising out of activities rendered by the third party.</w:t>
      </w:r>
    </w:p>
    <w:p w14:paraId="4E61A459"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III. The facilities / premises / data that are involved in carrying out the outsourced activity by the service provider shall be deemed to be those of the registered Company.</w:t>
      </w:r>
    </w:p>
    <w:p w14:paraId="12EACB5E"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IV. The Company itself and Regulator or the persons authorized by it shall have the right to access the same at any point of time.</w:t>
      </w:r>
    </w:p>
    <w:p w14:paraId="5488913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V. Outsourcing arrangements shall not impair the ability of SEBI/SRO or auditors to exercise its regulatory responsibilities such as supervision/inspection of the Company.</w:t>
      </w:r>
    </w:p>
    <w:p w14:paraId="1638C4E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4. The Company shall conduct appropriate due diligence in selecting the third party and in monitoring of its performance.</w:t>
      </w:r>
    </w:p>
    <w:p w14:paraId="1AE783E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 The Company exercises due care, skill, and diligence in the selection of the third party to ensure that the third party has the ability and capacity to undertake the provision of the service effectively.</w:t>
      </w:r>
    </w:p>
    <w:p w14:paraId="3EBCEE0B"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ii. The due diligence undertaken by an Company shall include assessment of:</w:t>
      </w:r>
    </w:p>
    <w:p w14:paraId="7104F8C1"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a. third party’s resources and capabilities, including financial soundness, to perform the outsourcing work within the timelines fixed;</w:t>
      </w:r>
    </w:p>
    <w:p w14:paraId="66C7FF5E"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b. compatibility of the practices and systems of the third party with the Company’s requirements and objectives;</w:t>
      </w:r>
    </w:p>
    <w:p w14:paraId="219CB1B6"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c. market feedback of the prospective third party’s business reputation and track record of their services rendered in the past;</w:t>
      </w:r>
    </w:p>
    <w:p w14:paraId="135A5090"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d. level of concentration of the outsourced arrangements with a single third party;</w:t>
      </w:r>
    </w:p>
    <w:p w14:paraId="0AD155B2"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e. the environment of the foreign country where the third party is located</w:t>
      </w:r>
    </w:p>
    <w:p w14:paraId="1BD135AE" w14:textId="77777777" w:rsidR="000F411D" w:rsidRPr="001E3677" w:rsidRDefault="000F411D" w:rsidP="001E3677">
      <w:pPr>
        <w:jc w:val="both"/>
        <w:rPr>
          <w:rFonts w:ascii="Times New Roman" w:hAnsi="Times New Roman" w:cs="Times New Roman"/>
          <w:sz w:val="24"/>
          <w:szCs w:val="24"/>
        </w:rPr>
      </w:pPr>
    </w:p>
    <w:p w14:paraId="44050789"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5. Outsourcing relationships shall be governed by written contracts / agreements / terms and conditions (as deemed appropriate) {hereinafter referred to as “contract”} that clearly describe all material aspects of the outsourcing arrangement, including the rights, </w:t>
      </w:r>
      <w:r w:rsidRPr="001E3677">
        <w:rPr>
          <w:rFonts w:ascii="Times New Roman" w:hAnsi="Times New Roman" w:cs="Times New Roman"/>
          <w:sz w:val="24"/>
          <w:szCs w:val="24"/>
        </w:rPr>
        <w:lastRenderedPageBreak/>
        <w:t>responsibilities and expectations of the parties to the contract, client confidentiality issues, termination procedures, etc.</w:t>
      </w:r>
    </w:p>
    <w:p w14:paraId="0FFEFCDF"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 Outsourcing arrangements shall be governed by a clearly defined and legally binding written contract between the Company and each of the third parties, the nature and detail of which shall be appropriate to the materiality of the outsourced activity in relation to the ongoing business of the Company.</w:t>
      </w:r>
    </w:p>
    <w:p w14:paraId="4437B248" w14:textId="77777777" w:rsidR="000F411D" w:rsidRPr="001E3677" w:rsidRDefault="000F411D" w:rsidP="001E3677">
      <w:pPr>
        <w:jc w:val="both"/>
        <w:rPr>
          <w:rFonts w:ascii="Times New Roman" w:hAnsi="Times New Roman" w:cs="Times New Roman"/>
          <w:sz w:val="24"/>
          <w:szCs w:val="24"/>
        </w:rPr>
      </w:pPr>
    </w:p>
    <w:p w14:paraId="27BF41A2"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ii. Care shall be taken to ensure that the outsourcing contract: </w:t>
      </w:r>
    </w:p>
    <w:p w14:paraId="6F45B6A5"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a. clearly defines what activities are going to be outsourced, including appropriate service and performance levels; </w:t>
      </w:r>
    </w:p>
    <w:p w14:paraId="607CCD21"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b. provides for mutual rights, obligations and responsibilities of the Company and the third party, including indemnity by the parties; </w:t>
      </w:r>
    </w:p>
    <w:p w14:paraId="2ED64820"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c. provides for the liability of the third party to the Company for unsatisfactory performance/other breach of the contract </w:t>
      </w:r>
    </w:p>
    <w:p w14:paraId="6D99C4FF"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d. provides for the continuous monitoring and assessment by the Company of the third party so that any necessary corrective measures can be taken up immediately, i.e., the contract shall enable the Company to retain an appropriate level of control over the outsourcing and the right to intervene with appropriate measures to meet legal and regulatory obligations; </w:t>
      </w:r>
    </w:p>
    <w:p w14:paraId="3F274E84"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e. includes, where necessary, conditions of sub-contracting by the third-party, i.e. the contract shall enable Company to maintain a similar control over the risks when a third party outsources to further third parties as in the original direct outsourcing; </w:t>
      </w:r>
    </w:p>
    <w:p w14:paraId="61FBFCBC"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f. has unambiguous confidentiality clauses to ensure protection of proprietary and customer data during the tenure of the contract and also after the expiry of the contract; </w:t>
      </w:r>
    </w:p>
    <w:p w14:paraId="1B1BAFE3"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g. specifies the responsibilities of the third party with respect to the IT security and contingency plans, insurance cover, business continuity and disaster recovery plans, force majeure clause, etc.; </w:t>
      </w:r>
    </w:p>
    <w:p w14:paraId="1037470C" w14:textId="60D5F49D"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h. provides for preservation of the documents and data by third </w:t>
      </w:r>
      <w:r w:rsidR="006C486E" w:rsidRPr="001E3677">
        <w:rPr>
          <w:rFonts w:ascii="Times New Roman" w:hAnsi="Times New Roman" w:cs="Times New Roman"/>
          <w:sz w:val="24"/>
          <w:szCs w:val="24"/>
        </w:rPr>
        <w:t>party;</w:t>
      </w:r>
      <w:r w:rsidRPr="001E3677">
        <w:rPr>
          <w:rFonts w:ascii="Times New Roman" w:hAnsi="Times New Roman" w:cs="Times New Roman"/>
          <w:sz w:val="24"/>
          <w:szCs w:val="24"/>
        </w:rPr>
        <w:t xml:space="preserve"> </w:t>
      </w:r>
    </w:p>
    <w:p w14:paraId="33AD57F3"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i. provides for the mechanisms to resolve disputes arising from implementation of the outsourcing contract; </w:t>
      </w:r>
    </w:p>
    <w:p w14:paraId="1C13CEC9"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j. provides for termination of the contract, termination rights, transfer of information and exit strategies; </w:t>
      </w:r>
    </w:p>
    <w:p w14:paraId="3EF0AFC4"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k. addresses additional issues arising from country risks and potential obstacles in exercising oversight and management of the arrangements when Company outsources its </w:t>
      </w:r>
      <w:r w:rsidRPr="001E3677">
        <w:rPr>
          <w:rFonts w:ascii="Times New Roman" w:hAnsi="Times New Roman" w:cs="Times New Roman"/>
          <w:sz w:val="24"/>
          <w:szCs w:val="24"/>
        </w:rPr>
        <w:lastRenderedPageBreak/>
        <w:t>activities to foreign third party. The contract shall include choice-of-law provisions and agreement covenants and jurisdictional covenants that provide for adjudication of disputes between the parties under the laws of a specific jurisdiction;</w:t>
      </w:r>
    </w:p>
    <w:p w14:paraId="3293B544"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l. neither prevents nor impedes the Company from meeting its respective regulatory obligations, nor the regulator from exercising its regulatory powers; and</w:t>
      </w:r>
    </w:p>
    <w:p w14:paraId="679DBAFB"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w:t>
      </w:r>
      <w:r w:rsidRPr="001E3677">
        <w:rPr>
          <w:rFonts w:ascii="Times New Roman" w:hAnsi="Times New Roman" w:cs="Times New Roman"/>
          <w:sz w:val="24"/>
          <w:szCs w:val="24"/>
        </w:rPr>
        <w:sym w:font="Symbol" w:char="F0B7"/>
      </w:r>
      <w:r w:rsidRPr="001E3677">
        <w:rPr>
          <w:rFonts w:ascii="Times New Roman" w:hAnsi="Times New Roman" w:cs="Times New Roman"/>
          <w:sz w:val="24"/>
          <w:szCs w:val="24"/>
        </w:rPr>
        <w:t xml:space="preserve"> m. provides for the Company and /or the regulator or the persons authorized by it to have the ability to inspect, access all books, records and information relevant to the outsourced activity with the third party.</w:t>
      </w:r>
    </w:p>
    <w:p w14:paraId="291B21C0" w14:textId="77777777" w:rsidR="000F411D" w:rsidRPr="001E3677" w:rsidRDefault="000F411D" w:rsidP="001E3677">
      <w:pPr>
        <w:jc w:val="both"/>
        <w:rPr>
          <w:rFonts w:ascii="Times New Roman" w:hAnsi="Times New Roman" w:cs="Times New Roman"/>
          <w:sz w:val="24"/>
          <w:szCs w:val="24"/>
        </w:rPr>
      </w:pPr>
    </w:p>
    <w:p w14:paraId="10EA922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6. The Company and its third parties shall establish and maintain contingency plans, including a plan for disaster recovery and periodic testing of backup facilities.</w:t>
      </w:r>
    </w:p>
    <w:p w14:paraId="11F69082"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i. Specific contingency plans shall be separately developed for each outsourcing arrangement, as is done in individual business lines.</w:t>
      </w:r>
    </w:p>
    <w:p w14:paraId="3B127BA2" w14:textId="67780F0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ii. The company shall take appropriate steps to assess and address the potential consequence of a business disruption or other problems at the </w:t>
      </w:r>
      <w:r w:rsidR="006C486E" w:rsidRPr="001E3677">
        <w:rPr>
          <w:rFonts w:ascii="Times New Roman" w:hAnsi="Times New Roman" w:cs="Times New Roman"/>
          <w:sz w:val="24"/>
          <w:szCs w:val="24"/>
        </w:rPr>
        <w:t>third-party</w:t>
      </w:r>
      <w:r w:rsidRPr="001E3677">
        <w:rPr>
          <w:rFonts w:ascii="Times New Roman" w:hAnsi="Times New Roman" w:cs="Times New Roman"/>
          <w:sz w:val="24"/>
          <w:szCs w:val="24"/>
        </w:rPr>
        <w:t xml:space="preserve"> level.</w:t>
      </w:r>
    </w:p>
    <w:p w14:paraId="4F1DB65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Notably, it shall consider contingency plans at the third party; co-ordination of contingency plans at both the Company and the third party; and contingency plans of the Company in the event of non-performance by the third party.</w:t>
      </w:r>
    </w:p>
    <w:p w14:paraId="41E9F6AF"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 iv. To ensure business continuity, robust information technology security is a necessity. A breakdown in the IT capacity may impair the ability of the Company to fulfill its obligations to other market participants/clients/regulators and could undermine the</w:t>
      </w:r>
      <w:r w:rsidR="001E3677" w:rsidRPr="001E3677">
        <w:rPr>
          <w:rFonts w:ascii="Times New Roman" w:hAnsi="Times New Roman" w:cs="Times New Roman"/>
          <w:sz w:val="24"/>
          <w:szCs w:val="24"/>
        </w:rPr>
        <w:t xml:space="preserve"> </w:t>
      </w:r>
      <w:r w:rsidRPr="001E3677">
        <w:rPr>
          <w:rFonts w:ascii="Times New Roman" w:hAnsi="Times New Roman" w:cs="Times New Roman"/>
          <w:sz w:val="24"/>
          <w:szCs w:val="24"/>
        </w:rPr>
        <w:t xml:space="preserve">privacy interests of its customers, harm the Company’s reputation, and may ultimately impact on its overall operational risk profile. Company shall, therefore, seek to ensure that third party maintains appropriate IT security and robust disaster recovery capabilities </w:t>
      </w:r>
    </w:p>
    <w:p w14:paraId="47A97CCD" w14:textId="77777777" w:rsidR="000F411D" w:rsidRPr="001E3677" w:rsidRDefault="000F411D"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v. Periodic tests of the critical security procedures and systems and review of the back-up facilities shall be undertaken by the Company to confirm the adequacy of the third party’s systems </w:t>
      </w:r>
    </w:p>
    <w:p w14:paraId="4C25AD86"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7. The Company shall take appropriate steps to require that third parties protect confidential information of both the Company and its customers from intentional or inadvertent disclosure to unauthorised persons. </w:t>
      </w:r>
    </w:p>
    <w:p w14:paraId="5C7EBA7B"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i. The company should ensure its proprietary and confidential customer information and ensure that it is not misused or misappropriated. </w:t>
      </w:r>
    </w:p>
    <w:p w14:paraId="04C4E17F"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ii. The Company shall prevail upon the third party to ensure that the employees of the third party have limited access to the data handled and only on a “need to know” basis and the third party shall have adequate checks and balances to ensure the same. </w:t>
      </w:r>
    </w:p>
    <w:p w14:paraId="100B6C54"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lastRenderedPageBreak/>
        <w:t>iii. In cases where the third party is providing similar services to multiple entities, the Company shall ensure that adequate care is taken by the third party to build safeguards for data security and confidentiality.</w:t>
      </w:r>
    </w:p>
    <w:p w14:paraId="214785EB" w14:textId="77777777" w:rsidR="000F411D" w:rsidRPr="001E3677" w:rsidRDefault="000F411D" w:rsidP="000F411D">
      <w:pPr>
        <w:jc w:val="both"/>
        <w:rPr>
          <w:rFonts w:ascii="Times New Roman" w:hAnsi="Times New Roman" w:cs="Times New Roman"/>
          <w:sz w:val="24"/>
          <w:szCs w:val="24"/>
        </w:rPr>
      </w:pPr>
      <w:r w:rsidRPr="001E3677">
        <w:rPr>
          <w:rFonts w:ascii="Times New Roman" w:hAnsi="Times New Roman" w:cs="Times New Roman"/>
          <w:sz w:val="24"/>
          <w:szCs w:val="24"/>
        </w:rPr>
        <w:t xml:space="preserve"> 8</w:t>
      </w:r>
      <w:r w:rsidR="001E3677" w:rsidRPr="001E3677">
        <w:rPr>
          <w:rFonts w:ascii="Times New Roman" w:hAnsi="Times New Roman" w:cs="Times New Roman"/>
          <w:sz w:val="24"/>
          <w:szCs w:val="24"/>
        </w:rPr>
        <w:t>.</w:t>
      </w:r>
      <w:r w:rsidRPr="001E3677">
        <w:rPr>
          <w:rFonts w:ascii="Times New Roman" w:hAnsi="Times New Roman" w:cs="Times New Roman"/>
          <w:sz w:val="24"/>
          <w:szCs w:val="24"/>
        </w:rPr>
        <w:t xml:space="preserve"> Potential risks posed where the outsourced activities of multiple intermediaries are concentrated with a limited number of third parties. </w:t>
      </w:r>
    </w:p>
    <w:p w14:paraId="4FE95313" w14:textId="1285C08D" w:rsidR="000F411D" w:rsidRPr="001E3677" w:rsidRDefault="00421E77" w:rsidP="000F411D">
      <w:pPr>
        <w:jc w:val="both"/>
        <w:rPr>
          <w:rFonts w:ascii="Times New Roman" w:hAnsi="Times New Roman" w:cs="Times New Roman"/>
          <w:sz w:val="24"/>
          <w:szCs w:val="24"/>
        </w:rPr>
      </w:pPr>
      <w:r>
        <w:rPr>
          <w:rFonts w:ascii="Times New Roman" w:hAnsi="Times New Roman" w:cs="Times New Roman"/>
          <w:sz w:val="24"/>
          <w:szCs w:val="24"/>
        </w:rPr>
        <w:t>W</w:t>
      </w:r>
      <w:r w:rsidR="000F411D" w:rsidRPr="001E3677">
        <w:rPr>
          <w:rFonts w:ascii="Times New Roman" w:hAnsi="Times New Roman" w:cs="Times New Roman"/>
          <w:sz w:val="24"/>
          <w:szCs w:val="24"/>
        </w:rPr>
        <w:t xml:space="preserve">herever the </w:t>
      </w:r>
      <w:r w:rsidR="006C486E" w:rsidRPr="001E3677">
        <w:rPr>
          <w:rFonts w:ascii="Times New Roman" w:hAnsi="Times New Roman" w:cs="Times New Roman"/>
          <w:sz w:val="24"/>
          <w:szCs w:val="24"/>
        </w:rPr>
        <w:t>third-party</w:t>
      </w:r>
      <w:r w:rsidR="000F411D" w:rsidRPr="001E3677">
        <w:rPr>
          <w:rFonts w:ascii="Times New Roman" w:hAnsi="Times New Roman" w:cs="Times New Roman"/>
          <w:sz w:val="24"/>
          <w:szCs w:val="24"/>
        </w:rPr>
        <w:t xml:space="preserve"> acts as an outsourcing agent for multiple intermediaries, it is the duty of the third party and the Company to ensure that strong safeguards are put in place so that there is no co-mingling of information /documents, records and assets. </w:t>
      </w:r>
    </w:p>
    <w:p w14:paraId="4524DD6A" w14:textId="77777777" w:rsidR="00ED032E" w:rsidRPr="001E3677" w:rsidRDefault="00ED032E" w:rsidP="001E3677">
      <w:pPr>
        <w:rPr>
          <w:rFonts w:ascii="Times New Roman" w:hAnsi="Times New Roman" w:cs="Times New Roman"/>
          <w:b/>
          <w:sz w:val="25"/>
          <w:szCs w:val="25"/>
        </w:rPr>
      </w:pPr>
      <w:r w:rsidRPr="001E3677">
        <w:rPr>
          <w:rFonts w:ascii="Times New Roman" w:hAnsi="Times New Roman" w:cs="Times New Roman"/>
          <w:b/>
          <w:sz w:val="25"/>
          <w:szCs w:val="25"/>
        </w:rPr>
        <w:t>Board of Directors Approval:</w:t>
      </w:r>
    </w:p>
    <w:p w14:paraId="324EF95C" w14:textId="77777777" w:rsidR="00ED032E" w:rsidRPr="001E3677" w:rsidRDefault="00ED032E"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We have approved this policy </w:t>
      </w:r>
      <w:r w:rsidR="00421E77">
        <w:rPr>
          <w:rFonts w:ascii="Times New Roman" w:hAnsi="Times New Roman" w:cs="Times New Roman"/>
          <w:sz w:val="24"/>
          <w:szCs w:val="24"/>
        </w:rPr>
        <w:t xml:space="preserve">of </w:t>
      </w:r>
      <w:r w:rsidR="00421E77" w:rsidRPr="00421E77">
        <w:rPr>
          <w:rFonts w:ascii="Times New Roman" w:hAnsi="Times New Roman" w:cs="Times New Roman"/>
          <w:sz w:val="24"/>
          <w:szCs w:val="24"/>
        </w:rPr>
        <w:t>OUTSOUCING OF ACTIVITIES</w:t>
      </w:r>
      <w:r w:rsidR="00421E77">
        <w:rPr>
          <w:rFonts w:ascii="Times New Roman" w:hAnsi="Times New Roman" w:cs="Times New Roman"/>
          <w:sz w:val="24"/>
          <w:szCs w:val="24"/>
        </w:rPr>
        <w:t xml:space="preserve"> applicable to intermediaries </w:t>
      </w:r>
      <w:r w:rsidRPr="001E3677">
        <w:rPr>
          <w:rFonts w:ascii="Times New Roman" w:hAnsi="Times New Roman" w:cs="Times New Roman"/>
          <w:sz w:val="24"/>
          <w:szCs w:val="24"/>
        </w:rPr>
        <w:t xml:space="preserve">which </w:t>
      </w:r>
      <w:r w:rsidR="00421E77">
        <w:rPr>
          <w:rFonts w:ascii="Times New Roman" w:hAnsi="Times New Roman" w:cs="Times New Roman"/>
          <w:sz w:val="24"/>
          <w:szCs w:val="24"/>
        </w:rPr>
        <w:t>was prepared</w:t>
      </w:r>
      <w:r w:rsidR="00421E77" w:rsidRPr="001E3677">
        <w:rPr>
          <w:rFonts w:ascii="Times New Roman" w:hAnsi="Times New Roman" w:cs="Times New Roman"/>
          <w:sz w:val="24"/>
          <w:szCs w:val="24"/>
        </w:rPr>
        <w:t xml:space="preserve"> within the frame </w:t>
      </w:r>
      <w:r w:rsidR="008D7E2E" w:rsidRPr="001E3677">
        <w:rPr>
          <w:rFonts w:ascii="Times New Roman" w:hAnsi="Times New Roman" w:cs="Times New Roman"/>
          <w:sz w:val="24"/>
          <w:szCs w:val="24"/>
        </w:rPr>
        <w:t>work by</w:t>
      </w:r>
      <w:r w:rsidR="00421E77" w:rsidRPr="001E3677">
        <w:rPr>
          <w:rFonts w:ascii="Times New Roman" w:hAnsi="Times New Roman" w:cs="Times New Roman"/>
          <w:sz w:val="24"/>
          <w:szCs w:val="24"/>
        </w:rPr>
        <w:t xml:space="preserve"> SEBI, Exchanges, Depositories or any other Regulatory from time to time</w:t>
      </w:r>
      <w:r w:rsidR="00421E77">
        <w:rPr>
          <w:rFonts w:ascii="Times New Roman" w:hAnsi="Times New Roman" w:cs="Times New Roman"/>
          <w:sz w:val="24"/>
          <w:szCs w:val="24"/>
        </w:rPr>
        <w:t xml:space="preserve"> </w:t>
      </w:r>
      <w:r w:rsidR="00421E77" w:rsidRPr="001E3677">
        <w:rPr>
          <w:rFonts w:ascii="Times New Roman" w:hAnsi="Times New Roman" w:cs="Times New Roman"/>
          <w:sz w:val="24"/>
          <w:szCs w:val="24"/>
        </w:rPr>
        <w:t>and when it is found necessary to change the policy due to business needs</w:t>
      </w:r>
      <w:r w:rsidR="00421E77">
        <w:rPr>
          <w:rFonts w:ascii="Times New Roman" w:hAnsi="Times New Roman" w:cs="Times New Roman"/>
          <w:sz w:val="24"/>
          <w:szCs w:val="24"/>
        </w:rPr>
        <w:t>.</w:t>
      </w:r>
    </w:p>
    <w:p w14:paraId="1AC10DB3" w14:textId="77777777" w:rsidR="001E3677" w:rsidRPr="001E3677" w:rsidRDefault="001E3677" w:rsidP="001E3677">
      <w:pPr>
        <w:rPr>
          <w:rFonts w:ascii="Times New Roman" w:hAnsi="Times New Roman" w:cs="Times New Roman"/>
          <w:b/>
          <w:sz w:val="25"/>
          <w:szCs w:val="25"/>
        </w:rPr>
      </w:pPr>
      <w:r w:rsidRPr="001E3677">
        <w:rPr>
          <w:rFonts w:ascii="Times New Roman" w:hAnsi="Times New Roman" w:cs="Times New Roman"/>
          <w:b/>
          <w:sz w:val="25"/>
          <w:szCs w:val="25"/>
        </w:rPr>
        <w:t xml:space="preserve">Review Policy: </w:t>
      </w:r>
    </w:p>
    <w:p w14:paraId="7B37463E" w14:textId="77777777" w:rsidR="001E3677" w:rsidRPr="001E3677" w:rsidRDefault="001E3677" w:rsidP="001E3677">
      <w:pPr>
        <w:jc w:val="both"/>
        <w:rPr>
          <w:rFonts w:ascii="Times New Roman" w:hAnsi="Times New Roman" w:cs="Times New Roman"/>
          <w:sz w:val="24"/>
          <w:szCs w:val="24"/>
        </w:rPr>
      </w:pPr>
      <w:r w:rsidRPr="001E3677">
        <w:rPr>
          <w:rFonts w:ascii="Times New Roman" w:hAnsi="Times New Roman" w:cs="Times New Roman"/>
          <w:sz w:val="24"/>
          <w:szCs w:val="24"/>
        </w:rPr>
        <w:t xml:space="preserve">This policy may be reviewed as and when there are any changes introduced by any statutory authority or as and when it is found necessary to change the policy due to business needs. The policy may be reviewed by the Managing Director / Compliance Officer and place the changes in policy before the Board at the meeting. </w:t>
      </w:r>
    </w:p>
    <w:p w14:paraId="128EBDE6" w14:textId="77777777" w:rsidR="00ED032E" w:rsidRPr="001E3677" w:rsidRDefault="00ED032E" w:rsidP="001E3677">
      <w:pPr>
        <w:jc w:val="both"/>
        <w:rPr>
          <w:rFonts w:ascii="Times New Roman" w:hAnsi="Times New Roman" w:cs="Times New Roman"/>
          <w:sz w:val="24"/>
          <w:szCs w:val="24"/>
        </w:rPr>
      </w:pPr>
    </w:p>
    <w:p w14:paraId="0917E053" w14:textId="77777777" w:rsidR="00ED032E" w:rsidRPr="001E3677" w:rsidRDefault="00ED032E" w:rsidP="001E3677">
      <w:pPr>
        <w:jc w:val="both"/>
        <w:rPr>
          <w:rFonts w:ascii="Times New Roman" w:hAnsi="Times New Roman" w:cs="Times New Roman"/>
          <w:sz w:val="24"/>
          <w:szCs w:val="24"/>
        </w:rPr>
      </w:pPr>
    </w:p>
    <w:p w14:paraId="7405735E" w14:textId="77777777" w:rsidR="00ED032E" w:rsidRPr="00ED6088" w:rsidRDefault="00ED032E" w:rsidP="00B141EB">
      <w:pPr>
        <w:rPr>
          <w:rFonts w:ascii="Times New Roman" w:hAnsi="Times New Roman" w:cs="Times New Roman"/>
          <w:b/>
          <w:sz w:val="25"/>
          <w:szCs w:val="25"/>
        </w:rPr>
      </w:pPr>
      <w:r w:rsidRPr="00ED6088">
        <w:rPr>
          <w:rFonts w:ascii="Times New Roman" w:hAnsi="Times New Roman" w:cs="Times New Roman"/>
          <w:b/>
          <w:sz w:val="25"/>
          <w:szCs w:val="25"/>
        </w:rPr>
        <w:t xml:space="preserve">Policy Approval </w:t>
      </w:r>
      <w:r w:rsidR="00823B9B" w:rsidRPr="00ED6088">
        <w:rPr>
          <w:rFonts w:ascii="Times New Roman" w:hAnsi="Times New Roman" w:cs="Times New Roman"/>
          <w:b/>
          <w:sz w:val="25"/>
          <w:szCs w:val="25"/>
        </w:rPr>
        <w:t>Date:</w:t>
      </w:r>
      <w:r w:rsidRPr="00ED6088">
        <w:rPr>
          <w:rFonts w:ascii="Times New Roman" w:hAnsi="Times New Roman" w:cs="Times New Roman"/>
          <w:b/>
          <w:sz w:val="25"/>
          <w:szCs w:val="25"/>
        </w:rPr>
        <w:t xml:space="preserve"> </w:t>
      </w:r>
      <w:r w:rsidR="008D7E2E">
        <w:rPr>
          <w:rFonts w:ascii="Times New Roman" w:hAnsi="Times New Roman" w:cs="Times New Roman"/>
          <w:b/>
          <w:sz w:val="25"/>
          <w:szCs w:val="25"/>
        </w:rPr>
        <w:t>30th</w:t>
      </w:r>
      <w:r w:rsidRPr="00ED6088">
        <w:rPr>
          <w:rFonts w:ascii="Times New Roman" w:hAnsi="Times New Roman" w:cs="Times New Roman"/>
          <w:b/>
          <w:sz w:val="25"/>
          <w:szCs w:val="25"/>
        </w:rPr>
        <w:t xml:space="preserve"> </w:t>
      </w:r>
      <w:r w:rsidR="00823B9B">
        <w:rPr>
          <w:rFonts w:ascii="Times New Roman" w:hAnsi="Times New Roman" w:cs="Times New Roman"/>
          <w:b/>
          <w:sz w:val="25"/>
          <w:szCs w:val="25"/>
        </w:rPr>
        <w:t>Nov</w:t>
      </w:r>
      <w:r w:rsidRPr="00ED6088">
        <w:rPr>
          <w:rFonts w:ascii="Times New Roman" w:hAnsi="Times New Roman" w:cs="Times New Roman"/>
          <w:b/>
          <w:sz w:val="25"/>
          <w:szCs w:val="25"/>
        </w:rPr>
        <w:t>, 20</w:t>
      </w:r>
      <w:r w:rsidR="00823B9B">
        <w:rPr>
          <w:rFonts w:ascii="Times New Roman" w:hAnsi="Times New Roman" w:cs="Times New Roman"/>
          <w:b/>
          <w:sz w:val="25"/>
          <w:szCs w:val="25"/>
        </w:rPr>
        <w:t>21</w:t>
      </w:r>
      <w:r w:rsidRPr="00ED6088">
        <w:rPr>
          <w:rFonts w:ascii="Times New Roman" w:hAnsi="Times New Roman" w:cs="Times New Roman"/>
          <w:b/>
          <w:sz w:val="25"/>
          <w:szCs w:val="25"/>
        </w:rPr>
        <w:t>.</w:t>
      </w:r>
    </w:p>
    <w:p w14:paraId="1027C53A" w14:textId="1FB11A48" w:rsidR="00ED032E" w:rsidRPr="00ED6088" w:rsidRDefault="00ED032E" w:rsidP="00B141EB">
      <w:pPr>
        <w:rPr>
          <w:rFonts w:ascii="Times New Roman" w:hAnsi="Times New Roman" w:cs="Times New Roman"/>
          <w:b/>
          <w:sz w:val="25"/>
          <w:szCs w:val="25"/>
        </w:rPr>
      </w:pPr>
      <w:r w:rsidRPr="00ED6088">
        <w:rPr>
          <w:rFonts w:ascii="Times New Roman" w:hAnsi="Times New Roman" w:cs="Times New Roman"/>
          <w:b/>
          <w:sz w:val="25"/>
          <w:szCs w:val="25"/>
        </w:rPr>
        <w:t xml:space="preserve">Next Policy Review </w:t>
      </w:r>
      <w:r w:rsidR="00823B9B" w:rsidRPr="00ED6088">
        <w:rPr>
          <w:rFonts w:ascii="Times New Roman" w:hAnsi="Times New Roman" w:cs="Times New Roman"/>
          <w:b/>
          <w:sz w:val="25"/>
          <w:szCs w:val="25"/>
        </w:rPr>
        <w:t>Date:</w:t>
      </w:r>
      <w:r w:rsidRPr="00ED6088">
        <w:rPr>
          <w:rFonts w:ascii="Times New Roman" w:hAnsi="Times New Roman" w:cs="Times New Roman"/>
          <w:b/>
          <w:sz w:val="25"/>
          <w:szCs w:val="25"/>
        </w:rPr>
        <w:t xml:space="preserve"> </w:t>
      </w:r>
      <w:r w:rsidR="00B818F6">
        <w:rPr>
          <w:rFonts w:ascii="Times New Roman" w:hAnsi="Times New Roman" w:cs="Times New Roman"/>
          <w:b/>
          <w:sz w:val="25"/>
          <w:szCs w:val="25"/>
        </w:rPr>
        <w:t>28</w:t>
      </w:r>
      <w:r w:rsidR="00B818F6" w:rsidRPr="00B818F6">
        <w:rPr>
          <w:rFonts w:ascii="Times New Roman" w:hAnsi="Times New Roman" w:cs="Times New Roman"/>
          <w:b/>
          <w:sz w:val="25"/>
          <w:szCs w:val="25"/>
          <w:vertAlign w:val="superscript"/>
        </w:rPr>
        <w:t>th</w:t>
      </w:r>
      <w:r w:rsidR="00B818F6">
        <w:rPr>
          <w:rFonts w:ascii="Times New Roman" w:hAnsi="Times New Roman" w:cs="Times New Roman"/>
          <w:b/>
          <w:sz w:val="25"/>
          <w:szCs w:val="25"/>
        </w:rPr>
        <w:t xml:space="preserve"> Nov 2025</w:t>
      </w:r>
      <w:r w:rsidRPr="00ED6088">
        <w:rPr>
          <w:rFonts w:ascii="Times New Roman" w:hAnsi="Times New Roman" w:cs="Times New Roman"/>
          <w:b/>
          <w:sz w:val="25"/>
          <w:szCs w:val="25"/>
        </w:rPr>
        <w:t>.</w:t>
      </w:r>
    </w:p>
    <w:p w14:paraId="60C60115" w14:textId="77777777" w:rsidR="00ED032E" w:rsidRPr="00B141EB" w:rsidRDefault="00ED032E" w:rsidP="00B141EB">
      <w:pPr>
        <w:rPr>
          <w:rFonts w:ascii="Times New Roman" w:hAnsi="Times New Roman" w:cs="Times New Roman"/>
          <w:sz w:val="25"/>
          <w:szCs w:val="25"/>
        </w:rPr>
      </w:pPr>
    </w:p>
    <w:p w14:paraId="2724799E" w14:textId="77777777" w:rsidR="00ED032E" w:rsidRPr="00B141EB" w:rsidRDefault="00ED032E" w:rsidP="00B141EB">
      <w:pPr>
        <w:rPr>
          <w:rFonts w:ascii="Times New Roman" w:hAnsi="Times New Roman" w:cs="Times New Roman"/>
          <w:sz w:val="25"/>
          <w:szCs w:val="25"/>
        </w:rPr>
      </w:pPr>
    </w:p>
    <w:p w14:paraId="3D5A66F5" w14:textId="405922A4" w:rsidR="00E2307C" w:rsidRDefault="00ED032E" w:rsidP="00B141EB">
      <w:pPr>
        <w:contextualSpacing/>
        <w:rPr>
          <w:rFonts w:ascii="Times New Roman" w:hAnsi="Times New Roman" w:cs="Times New Roman"/>
          <w:sz w:val="25"/>
          <w:szCs w:val="25"/>
        </w:rPr>
      </w:pPr>
      <w:r w:rsidRPr="00B141EB">
        <w:rPr>
          <w:rFonts w:ascii="Times New Roman" w:hAnsi="Times New Roman" w:cs="Times New Roman"/>
          <w:sz w:val="25"/>
          <w:szCs w:val="25"/>
        </w:rPr>
        <w:t xml:space="preserve">Date: </w:t>
      </w:r>
      <w:r w:rsidR="005F6EAE">
        <w:rPr>
          <w:rFonts w:ascii="Times New Roman" w:hAnsi="Times New Roman" w:cs="Times New Roman"/>
          <w:sz w:val="25"/>
          <w:szCs w:val="25"/>
        </w:rPr>
        <w:t>30-05-2025</w:t>
      </w:r>
    </w:p>
    <w:p w14:paraId="502CA68F" w14:textId="77777777" w:rsidR="00ED032E" w:rsidRPr="00B141EB" w:rsidRDefault="00ED032E" w:rsidP="00B141EB">
      <w:pPr>
        <w:contextualSpacing/>
        <w:rPr>
          <w:rFonts w:ascii="Times New Roman" w:hAnsi="Times New Roman" w:cs="Times New Roman"/>
          <w:sz w:val="25"/>
          <w:szCs w:val="25"/>
        </w:rPr>
      </w:pPr>
      <w:r w:rsidRPr="00B141EB">
        <w:rPr>
          <w:rFonts w:ascii="Times New Roman" w:hAnsi="Times New Roman" w:cs="Times New Roman"/>
          <w:sz w:val="25"/>
          <w:szCs w:val="25"/>
        </w:rPr>
        <w:t>Place: Chennai.</w:t>
      </w:r>
    </w:p>
    <w:p w14:paraId="5BFEA8D2" w14:textId="77777777" w:rsidR="00ED032E" w:rsidRPr="0084361D" w:rsidRDefault="00ED032E" w:rsidP="00F70D34">
      <w:pPr>
        <w:rPr>
          <w:rFonts w:ascii="Times New Roman" w:hAnsi="Times New Roman" w:cs="Times New Roman"/>
          <w:sz w:val="25"/>
          <w:szCs w:val="25"/>
        </w:rPr>
      </w:pPr>
    </w:p>
    <w:sectPr w:rsidR="00ED032E" w:rsidRPr="0084361D" w:rsidSect="004B641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97911"/>
    <w:multiLevelType w:val="hybridMultilevel"/>
    <w:tmpl w:val="A4D2A61A"/>
    <w:lvl w:ilvl="0" w:tplc="0B7E27F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52DE6"/>
    <w:multiLevelType w:val="hybridMultilevel"/>
    <w:tmpl w:val="35D0F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958B0"/>
    <w:multiLevelType w:val="hybridMultilevel"/>
    <w:tmpl w:val="5D306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B03E9"/>
    <w:multiLevelType w:val="hybridMultilevel"/>
    <w:tmpl w:val="4EE6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45DA7"/>
    <w:multiLevelType w:val="hybridMultilevel"/>
    <w:tmpl w:val="2662F808"/>
    <w:lvl w:ilvl="0" w:tplc="8E0E19B8">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901717755">
    <w:abstractNumId w:val="0"/>
  </w:num>
  <w:num w:numId="2" w16cid:durableId="1861551976">
    <w:abstractNumId w:val="4"/>
  </w:num>
  <w:num w:numId="3" w16cid:durableId="1188175163">
    <w:abstractNumId w:val="3"/>
  </w:num>
  <w:num w:numId="4" w16cid:durableId="1942057800">
    <w:abstractNumId w:val="2"/>
  </w:num>
  <w:num w:numId="5" w16cid:durableId="995568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B5AF3"/>
    <w:rsid w:val="00013E6B"/>
    <w:rsid w:val="000C421A"/>
    <w:rsid w:val="000F411D"/>
    <w:rsid w:val="001443EB"/>
    <w:rsid w:val="001E3677"/>
    <w:rsid w:val="002B2762"/>
    <w:rsid w:val="0030279A"/>
    <w:rsid w:val="00310889"/>
    <w:rsid w:val="00421E77"/>
    <w:rsid w:val="004932F6"/>
    <w:rsid w:val="004B641C"/>
    <w:rsid w:val="004D0014"/>
    <w:rsid w:val="004D3460"/>
    <w:rsid w:val="005F6EAE"/>
    <w:rsid w:val="00614944"/>
    <w:rsid w:val="006416BA"/>
    <w:rsid w:val="006C486E"/>
    <w:rsid w:val="00787A80"/>
    <w:rsid w:val="007D4288"/>
    <w:rsid w:val="007F4BA8"/>
    <w:rsid w:val="00814C4B"/>
    <w:rsid w:val="00823B9B"/>
    <w:rsid w:val="0084361D"/>
    <w:rsid w:val="00850959"/>
    <w:rsid w:val="008B5AF3"/>
    <w:rsid w:val="008D7E2E"/>
    <w:rsid w:val="00981122"/>
    <w:rsid w:val="009B1806"/>
    <w:rsid w:val="009E1D13"/>
    <w:rsid w:val="009F1868"/>
    <w:rsid w:val="00AD5FFD"/>
    <w:rsid w:val="00B141EB"/>
    <w:rsid w:val="00B76B3A"/>
    <w:rsid w:val="00B818F6"/>
    <w:rsid w:val="00B87D63"/>
    <w:rsid w:val="00C520BB"/>
    <w:rsid w:val="00D91A83"/>
    <w:rsid w:val="00E2307C"/>
    <w:rsid w:val="00E2376F"/>
    <w:rsid w:val="00EA0A8B"/>
    <w:rsid w:val="00ED032E"/>
    <w:rsid w:val="00ED6088"/>
    <w:rsid w:val="00F343A4"/>
    <w:rsid w:val="00F70D34"/>
    <w:rsid w:val="00FC3492"/>
    <w:rsid w:val="00FF0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8E56"/>
  <w15:docId w15:val="{3D9C6190-70EE-447B-AF55-B28A7480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D63"/>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paragraph" w:styleId="ListParagraph">
    <w:name w:val="List Paragraph"/>
    <w:basedOn w:val="Normal"/>
    <w:uiPriority w:val="34"/>
    <w:qFormat/>
    <w:rsid w:val="000F411D"/>
    <w:pPr>
      <w:ind w:left="720"/>
      <w:contextualSpacing/>
    </w:pPr>
    <w:rPr>
      <w:lang w:val="en-US"/>
    </w:rPr>
  </w:style>
  <w:style w:type="paragraph" w:styleId="BalloonText">
    <w:name w:val="Balloon Text"/>
    <w:basedOn w:val="Normal"/>
    <w:link w:val="BalloonTextChar"/>
    <w:uiPriority w:val="99"/>
    <w:semiHidden/>
    <w:unhideWhenUsed/>
    <w:rsid w:val="000C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20C6-7230-4ABD-A477-50B6559A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dc:creator>
  <cp:lastModifiedBy>Ganapathy@accsource.net</cp:lastModifiedBy>
  <cp:revision>31</cp:revision>
  <dcterms:created xsi:type="dcterms:W3CDTF">2018-10-12T06:50:00Z</dcterms:created>
  <dcterms:modified xsi:type="dcterms:W3CDTF">2025-07-11T14:07:00Z</dcterms:modified>
</cp:coreProperties>
</file>